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V2.0(8265U)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V2.0(8265U)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V2.0(8265U): x86-64 / I5-8265U/1.6GHz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V2.0(8265U): x86-64 / I5-8265U/1.6GHz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V2.0(8265U)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I5-8265U/1.6GHz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V2.0(8265U)Ordering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